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3970" w14:textId="2CC46C45" w:rsidR="002F2FD2" w:rsidRDefault="001A42ED" w:rsidP="001A42ED">
      <w:r>
        <w:t>Un alito</w:t>
      </w:r>
      <w:r>
        <w:t xml:space="preserve"> </w:t>
      </w:r>
      <w:r>
        <w:t>non solo FRESCO</w:t>
      </w:r>
      <w:r>
        <w:t xml:space="preserve"> </w:t>
      </w:r>
      <w:r>
        <w:t>ma soprattutto SANO</w:t>
      </w:r>
    </w:p>
    <w:p w14:paraId="067A5276" w14:textId="5D5D04D4" w:rsidR="001A42ED" w:rsidRDefault="001A42ED" w:rsidP="001A42ED">
      <w:r>
        <w:t xml:space="preserve">Grazie a </w:t>
      </w:r>
      <w:proofErr w:type="spellStart"/>
      <w:r>
        <w:t>Virbac</w:t>
      </w:r>
      <w:proofErr w:type="spellEnd"/>
      <w:r>
        <w:t xml:space="preserve"> un prodotto che non</w:t>
      </w:r>
      <w:r>
        <w:t xml:space="preserve"> </w:t>
      </w:r>
      <w:r>
        <w:t>maschera l’alito cattivo ma agisce</w:t>
      </w:r>
      <w:r>
        <w:t xml:space="preserve"> </w:t>
      </w:r>
      <w:r>
        <w:t>sulle sue cause</w:t>
      </w:r>
    </w:p>
    <w:p w14:paraId="403CFDAD" w14:textId="477E9F2E" w:rsidR="001A42ED" w:rsidRDefault="001A42ED" w:rsidP="001A42ED">
      <w:pPr>
        <w:pStyle w:val="Pa2"/>
        <w:rPr>
          <w:rFonts w:ascii="EMRZNJ+TitilliumWeb-SemiBoldIta" w:hAnsi="EMRZNJ+TitilliumWeb-SemiBoldIta" w:cs="EMRZNJ+TitilliumWeb-SemiBoldIta"/>
          <w:sz w:val="11"/>
          <w:szCs w:val="11"/>
        </w:rPr>
      </w:pPr>
      <w:r w:rsidRPr="001A42ED">
        <w:rPr>
          <w:rFonts w:asciiTheme="minorHAnsi" w:hAnsiTheme="minorHAnsi"/>
          <w:b/>
          <w:bCs/>
          <w:sz w:val="22"/>
          <w:szCs w:val="22"/>
        </w:rPr>
        <w:t>SVILUPPATO DA VIRBAC PER AGIRE SULLE CAUSE DELL’ALITO CATTIVO</w:t>
      </w:r>
    </w:p>
    <w:p w14:paraId="757D4B63" w14:textId="26D870CD" w:rsidR="001A42ED" w:rsidRPr="001A42ED" w:rsidRDefault="001A42ED" w:rsidP="001A42ED">
      <w:pPr>
        <w:pStyle w:val="Pa0"/>
        <w:rPr>
          <w:rFonts w:asciiTheme="minorHAnsi" w:hAnsiTheme="minorHAnsi"/>
          <w:sz w:val="22"/>
          <w:szCs w:val="22"/>
        </w:rPr>
      </w:pPr>
      <w:r w:rsidRPr="001A42ED">
        <w:rPr>
          <w:rFonts w:asciiTheme="minorHAnsi" w:hAnsiTheme="minorHAnsi"/>
          <w:sz w:val="22"/>
          <w:szCs w:val="22"/>
        </w:rPr>
        <w:t xml:space="preserve">La tecnologia FR3SH™ non maschera l’alito cattivo ma agisce sulle sue cause: </w:t>
      </w:r>
    </w:p>
    <w:p w14:paraId="62C216D0" w14:textId="77777777" w:rsidR="001A42ED" w:rsidRDefault="001A42ED" w:rsidP="001A42ED">
      <w:pPr>
        <w:pStyle w:val="Pa0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b/>
          <w:bCs/>
          <w:sz w:val="23"/>
          <w:szCs w:val="23"/>
        </w:rPr>
        <w:t xml:space="preserve">1 PULIZIA </w:t>
      </w:r>
      <w:r>
        <w:rPr>
          <w:rStyle w:val="A8"/>
          <w:b w:val="0"/>
          <w:bCs w:val="0"/>
          <w:color w:val="auto"/>
        </w:rPr>
        <w:t xml:space="preserve">Azione sul </w:t>
      </w:r>
      <w:r>
        <w:rPr>
          <w:rStyle w:val="A8"/>
          <w:color w:val="auto"/>
        </w:rPr>
        <w:t xml:space="preserve">cavo orale </w:t>
      </w:r>
    </w:p>
    <w:p w14:paraId="4AF22186" w14:textId="77777777" w:rsidR="001A42ED" w:rsidRDefault="001A42ED" w:rsidP="001A42ED">
      <w:pPr>
        <w:pStyle w:val="Pa0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b/>
          <w:bCs/>
          <w:sz w:val="23"/>
          <w:szCs w:val="23"/>
        </w:rPr>
        <w:t xml:space="preserve">2 FRESCHEZZA </w:t>
      </w:r>
      <w:r>
        <w:rPr>
          <w:rStyle w:val="A8"/>
          <w:b w:val="0"/>
          <w:bCs w:val="0"/>
          <w:color w:val="auto"/>
        </w:rPr>
        <w:t>Azione rinfrescante sull’</w:t>
      </w:r>
      <w:r>
        <w:rPr>
          <w:rStyle w:val="A8"/>
          <w:color w:val="auto"/>
        </w:rPr>
        <w:t xml:space="preserve">alito </w:t>
      </w:r>
    </w:p>
    <w:p w14:paraId="548F1194" w14:textId="6AE273A9" w:rsidR="001A42ED" w:rsidRDefault="001A42ED" w:rsidP="001A42ED">
      <w:pPr>
        <w:rPr>
          <w:rStyle w:val="A8"/>
          <w:color w:val="auto"/>
        </w:rPr>
      </w:pPr>
      <w:r>
        <w:rPr>
          <w:rFonts w:ascii="Titillium Web" w:hAnsi="Titillium Web" w:cs="Titillium Web"/>
          <w:b/>
          <w:bCs/>
          <w:sz w:val="23"/>
          <w:szCs w:val="23"/>
        </w:rPr>
        <w:t xml:space="preserve">3 DIGESTIONE </w:t>
      </w:r>
      <w:r>
        <w:rPr>
          <w:rStyle w:val="A8"/>
          <w:b w:val="0"/>
          <w:bCs w:val="0"/>
          <w:color w:val="auto"/>
        </w:rPr>
        <w:t xml:space="preserve">Azione sull’apparato </w:t>
      </w:r>
      <w:r>
        <w:rPr>
          <w:rStyle w:val="A8"/>
          <w:color w:val="auto"/>
        </w:rPr>
        <w:t>digerente</w:t>
      </w:r>
    </w:p>
    <w:p w14:paraId="7D6479BD" w14:textId="77777777" w:rsidR="001A42ED" w:rsidRPr="001A42ED" w:rsidRDefault="001A42ED" w:rsidP="001A42ED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tillium Web"/>
          <w:color w:val="000000"/>
          <w:sz w:val="24"/>
          <w:szCs w:val="24"/>
        </w:rPr>
      </w:pPr>
    </w:p>
    <w:p w14:paraId="069777E5" w14:textId="103E06AE" w:rsidR="001A42ED" w:rsidRPr="001A42ED" w:rsidRDefault="001A42ED" w:rsidP="001A42ED">
      <w:pPr>
        <w:rPr>
          <w:rFonts w:ascii="Titillium Web" w:hAnsi="Titillium Web" w:cs="Titillium Web"/>
          <w:i/>
          <w:iCs/>
          <w:sz w:val="20"/>
          <w:szCs w:val="20"/>
        </w:rPr>
      </w:pPr>
      <w:r w:rsidRPr="001A42ED">
        <w:rPr>
          <w:rFonts w:ascii="Titillium Web" w:hAnsi="Titillium Web"/>
          <w:b/>
          <w:bCs/>
          <w:sz w:val="23"/>
          <w:szCs w:val="23"/>
        </w:rPr>
        <w:t xml:space="preserve">INULINA </w:t>
      </w:r>
      <w:r w:rsidRPr="001A42ED">
        <w:rPr>
          <w:rFonts w:ascii="Titillium Web" w:hAnsi="Titillium Web" w:cs="Titillium Web"/>
          <w:i/>
          <w:iCs/>
          <w:sz w:val="20"/>
          <w:szCs w:val="20"/>
        </w:rPr>
        <w:t xml:space="preserve">Agisce sulle cause </w:t>
      </w:r>
      <w:r w:rsidRPr="001A42ED">
        <w:rPr>
          <w:rFonts w:ascii="Titillium Web" w:hAnsi="Titillium Web" w:cs="Titillium Web"/>
          <w:b/>
          <w:bCs/>
          <w:i/>
          <w:iCs/>
          <w:sz w:val="20"/>
          <w:szCs w:val="20"/>
        </w:rPr>
        <w:t xml:space="preserve">digestive </w:t>
      </w:r>
      <w:r w:rsidRPr="001A42ED">
        <w:rPr>
          <w:rFonts w:ascii="Titillium Web" w:hAnsi="Titillium Web" w:cs="Titillium Web"/>
          <w:i/>
          <w:iCs/>
          <w:sz w:val="20"/>
          <w:szCs w:val="20"/>
        </w:rPr>
        <w:t>dell’alito cattivo</w:t>
      </w:r>
    </w:p>
    <w:p w14:paraId="35322922" w14:textId="3FE35B9A" w:rsidR="001A42ED" w:rsidRPr="001A42ED" w:rsidRDefault="001A42ED" w:rsidP="001A42ED">
      <w:pPr>
        <w:rPr>
          <w:rFonts w:ascii="Titillium Web" w:hAnsi="Titillium Web" w:cs="Titillium Web"/>
          <w:i/>
          <w:iCs/>
          <w:sz w:val="20"/>
          <w:szCs w:val="20"/>
        </w:rPr>
      </w:pPr>
      <w:r w:rsidRPr="001A42ED">
        <w:rPr>
          <w:rFonts w:ascii="Titillium Web" w:hAnsi="Titillium Web"/>
          <w:b/>
          <w:bCs/>
          <w:sz w:val="23"/>
          <w:szCs w:val="23"/>
        </w:rPr>
        <w:t xml:space="preserve">MELOGRANO </w:t>
      </w:r>
      <w:r w:rsidRPr="001A42ED">
        <w:rPr>
          <w:rFonts w:ascii="Titillium Web" w:hAnsi="Titillium Web" w:cs="Titillium Web"/>
          <w:i/>
          <w:iCs/>
          <w:sz w:val="20"/>
          <w:szCs w:val="20"/>
        </w:rPr>
        <w:t xml:space="preserve">Agisce sulle cause nel </w:t>
      </w:r>
      <w:r w:rsidRPr="001A42ED">
        <w:rPr>
          <w:rFonts w:ascii="Titillium Web" w:hAnsi="Titillium Web" w:cs="Titillium Web"/>
          <w:b/>
          <w:bCs/>
          <w:i/>
          <w:iCs/>
          <w:sz w:val="20"/>
          <w:szCs w:val="20"/>
        </w:rPr>
        <w:t xml:space="preserve">cavo orale </w:t>
      </w:r>
      <w:r w:rsidRPr="001A42ED">
        <w:rPr>
          <w:rFonts w:ascii="Titillium Web" w:hAnsi="Titillium Web" w:cs="Titillium Web"/>
          <w:i/>
          <w:iCs/>
          <w:sz w:val="20"/>
          <w:szCs w:val="20"/>
        </w:rPr>
        <w:t>all’origine dell’alito cattivo</w:t>
      </w:r>
    </w:p>
    <w:p w14:paraId="3663D68E" w14:textId="3692EB9F" w:rsidR="001A42ED" w:rsidRDefault="001A42ED" w:rsidP="001A42ED">
      <w:pPr>
        <w:rPr>
          <w:rFonts w:ascii="Titillium Web" w:hAnsi="Titillium Web" w:cs="Titillium Web"/>
          <w:b/>
          <w:bCs/>
          <w:i/>
          <w:iCs/>
          <w:sz w:val="20"/>
          <w:szCs w:val="20"/>
        </w:rPr>
      </w:pPr>
      <w:r w:rsidRPr="001A42ED">
        <w:rPr>
          <w:rFonts w:ascii="Titillium Web" w:hAnsi="Titillium Web"/>
          <w:b/>
          <w:bCs/>
          <w:sz w:val="23"/>
          <w:szCs w:val="23"/>
        </w:rPr>
        <w:t xml:space="preserve">ERITRITOLO </w:t>
      </w:r>
      <w:r w:rsidRPr="001A42ED">
        <w:rPr>
          <w:rFonts w:ascii="Titillium Web" w:hAnsi="Titillium Web" w:cs="Titillium Web"/>
          <w:i/>
          <w:iCs/>
          <w:sz w:val="20"/>
          <w:szCs w:val="20"/>
        </w:rPr>
        <w:t xml:space="preserve">Naturale con effetto </w:t>
      </w:r>
      <w:r w:rsidRPr="001A42ED">
        <w:rPr>
          <w:rFonts w:ascii="Titillium Web" w:hAnsi="Titillium Web" w:cs="Titillium Web"/>
          <w:b/>
          <w:bCs/>
          <w:i/>
          <w:iCs/>
          <w:sz w:val="20"/>
          <w:szCs w:val="20"/>
        </w:rPr>
        <w:t>rinfrescante</w:t>
      </w:r>
    </w:p>
    <w:p w14:paraId="16641C44" w14:textId="77777777" w:rsidR="001A42ED" w:rsidRPr="001A42ED" w:rsidRDefault="001A42ED" w:rsidP="001A42ED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tillium Web"/>
          <w:color w:val="000000"/>
          <w:sz w:val="24"/>
          <w:szCs w:val="24"/>
        </w:rPr>
      </w:pPr>
    </w:p>
    <w:p w14:paraId="199D1ABF" w14:textId="77777777" w:rsidR="001A42ED" w:rsidRPr="001A42ED" w:rsidRDefault="001A42ED" w:rsidP="001A42ED">
      <w:pPr>
        <w:autoSpaceDE w:val="0"/>
        <w:autoSpaceDN w:val="0"/>
        <w:adjustRightInd w:val="0"/>
        <w:spacing w:after="0" w:line="241" w:lineRule="atLeast"/>
        <w:ind w:left="200" w:hanging="200"/>
        <w:rPr>
          <w:rFonts w:ascii="Titillium Web" w:hAnsi="Titillium Web"/>
          <w:sz w:val="23"/>
          <w:szCs w:val="23"/>
        </w:rPr>
      </w:pPr>
      <w:r w:rsidRPr="001A42ED">
        <w:rPr>
          <w:rFonts w:ascii="Titillium Web" w:hAnsi="Titillium Web"/>
          <w:b/>
          <w:bCs/>
          <w:sz w:val="23"/>
          <w:szCs w:val="23"/>
        </w:rPr>
        <w:t xml:space="preserve">FORMA INNOVATIVA </w:t>
      </w:r>
    </w:p>
    <w:p w14:paraId="04086B13" w14:textId="2576C00E" w:rsidR="001A42ED" w:rsidRPr="001A42ED" w:rsidRDefault="001A42ED" w:rsidP="00672394">
      <w:pPr>
        <w:rPr>
          <w:rFonts w:ascii="Titillium Web Light" w:hAnsi="Titillium Web Light" w:cs="Titillium Web Light"/>
          <w:sz w:val="20"/>
          <w:szCs w:val="20"/>
        </w:rPr>
      </w:pPr>
      <w:r w:rsidRPr="001A42ED">
        <w:rPr>
          <w:rFonts w:ascii="Titillium Web Light" w:hAnsi="Titillium Web Light" w:cs="Titillium Web Light"/>
          <w:sz w:val="20"/>
          <w:szCs w:val="20"/>
        </w:rPr>
        <w:t xml:space="preserve">La particolare </w:t>
      </w:r>
      <w:r w:rsidRPr="001A42ED">
        <w:rPr>
          <w:rFonts w:ascii="Titillium Web" w:hAnsi="Titillium Web" w:cs="Titillium Web"/>
          <w:b/>
          <w:bCs/>
          <w:sz w:val="20"/>
          <w:szCs w:val="20"/>
        </w:rPr>
        <w:t xml:space="preserve">forma a Z </w:t>
      </w:r>
      <w:r w:rsidRPr="001A42ED">
        <w:rPr>
          <w:rFonts w:ascii="Titillium Web Light" w:hAnsi="Titillium Web Light" w:cs="Titillium Web Light"/>
          <w:sz w:val="20"/>
          <w:szCs w:val="20"/>
        </w:rPr>
        <w:t>favorisce la masticazione eliminando il tartaro tra i denti e le gengive.</w:t>
      </w:r>
    </w:p>
    <w:p w14:paraId="52007BF0" w14:textId="77777777" w:rsidR="001A42ED" w:rsidRPr="001A42ED" w:rsidRDefault="001A42ED" w:rsidP="001A42ED">
      <w:pPr>
        <w:autoSpaceDE w:val="0"/>
        <w:autoSpaceDN w:val="0"/>
        <w:adjustRightInd w:val="0"/>
        <w:spacing w:before="160" w:after="0" w:line="241" w:lineRule="atLeast"/>
        <w:ind w:left="200" w:hanging="200"/>
        <w:rPr>
          <w:rFonts w:ascii="Titillium Web" w:hAnsi="Titillium Web"/>
          <w:sz w:val="23"/>
          <w:szCs w:val="23"/>
        </w:rPr>
      </w:pPr>
      <w:r w:rsidRPr="001A42ED">
        <w:rPr>
          <w:rFonts w:ascii="Titillium Web" w:hAnsi="Titillium Web"/>
          <w:b/>
          <w:bCs/>
          <w:sz w:val="23"/>
          <w:szCs w:val="23"/>
        </w:rPr>
        <w:t xml:space="preserve">RICONOSCIMENTO INTERNAZIONALE </w:t>
      </w:r>
    </w:p>
    <w:p w14:paraId="5A5E1E90" w14:textId="779F7D53" w:rsidR="001A42ED" w:rsidRPr="001A42ED" w:rsidRDefault="001A42ED" w:rsidP="001A42ED">
      <w:r w:rsidRPr="001A42ED">
        <w:rPr>
          <w:rFonts w:ascii="Titillium Web Light" w:hAnsi="Titillium Web Light" w:cs="Titillium Web Light"/>
          <w:sz w:val="20"/>
          <w:szCs w:val="20"/>
        </w:rPr>
        <w:t xml:space="preserve">Il prodotto soddisfa le caratteristiche di efficacia del </w:t>
      </w:r>
      <w:proofErr w:type="spellStart"/>
      <w:r w:rsidRPr="001A42ED">
        <w:rPr>
          <w:rFonts w:ascii="Titillium Web Light" w:hAnsi="Titillium Web Light" w:cs="Titillium Web Light"/>
          <w:i/>
          <w:iCs/>
          <w:sz w:val="20"/>
          <w:szCs w:val="20"/>
        </w:rPr>
        <w:t>Veterinary</w:t>
      </w:r>
      <w:proofErr w:type="spellEnd"/>
      <w:r w:rsidRPr="001A42ED">
        <w:rPr>
          <w:rFonts w:ascii="Titillium Web Light" w:hAnsi="Titillium Web Light" w:cs="Titillium Web Light"/>
          <w:i/>
          <w:iCs/>
          <w:sz w:val="20"/>
          <w:szCs w:val="20"/>
        </w:rPr>
        <w:t xml:space="preserve"> </w:t>
      </w:r>
      <w:proofErr w:type="spellStart"/>
      <w:r w:rsidRPr="001A42ED">
        <w:rPr>
          <w:rFonts w:ascii="Titillium Web Light" w:hAnsi="Titillium Web Light" w:cs="Titillium Web Light"/>
          <w:i/>
          <w:iCs/>
          <w:sz w:val="20"/>
          <w:szCs w:val="20"/>
        </w:rPr>
        <w:t>Oral</w:t>
      </w:r>
      <w:proofErr w:type="spellEnd"/>
      <w:r w:rsidRPr="001A42ED">
        <w:rPr>
          <w:rFonts w:ascii="Titillium Web Light" w:hAnsi="Titillium Web Light" w:cs="Titillium Web Light"/>
          <w:i/>
          <w:iCs/>
          <w:sz w:val="20"/>
          <w:szCs w:val="20"/>
        </w:rPr>
        <w:t xml:space="preserve"> Health </w:t>
      </w:r>
      <w:proofErr w:type="spellStart"/>
      <w:r w:rsidRPr="001A42ED">
        <w:rPr>
          <w:rFonts w:ascii="Titillium Web Light" w:hAnsi="Titillium Web Light" w:cs="Titillium Web Light"/>
          <w:i/>
          <w:iCs/>
          <w:sz w:val="20"/>
          <w:szCs w:val="20"/>
        </w:rPr>
        <w:t>Council</w:t>
      </w:r>
      <w:proofErr w:type="spellEnd"/>
      <w:r w:rsidRPr="001A42ED">
        <w:rPr>
          <w:rFonts w:ascii="Titillium Web Light" w:hAnsi="Titillium Web Light" w:cs="Titillium Web Light"/>
          <w:i/>
          <w:iCs/>
          <w:sz w:val="20"/>
          <w:szCs w:val="20"/>
        </w:rPr>
        <w:t xml:space="preserve"> </w:t>
      </w:r>
      <w:r w:rsidRPr="001A42ED">
        <w:rPr>
          <w:rFonts w:ascii="Titillium Web Light" w:hAnsi="Titillium Web Light" w:cs="Titillium Web Light"/>
          <w:sz w:val="20"/>
          <w:szCs w:val="20"/>
        </w:rPr>
        <w:t>nel ritardare la formazione di PLACCA e TARTARO</w:t>
      </w:r>
    </w:p>
    <w:sectPr w:rsidR="001A42ED" w:rsidRPr="001A4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EMRZNJ+TitilliumWeb-SemiBold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 Web Light">
    <w:altName w:val="Titillium Web Light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ED"/>
    <w:rsid w:val="001A42ED"/>
    <w:rsid w:val="002F2FD2"/>
    <w:rsid w:val="006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53E0"/>
  <w15:chartTrackingRefBased/>
  <w15:docId w15:val="{EF66673B-DAEE-42EF-9988-6B8F5EE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2ED"/>
    <w:pPr>
      <w:autoSpaceDE w:val="0"/>
      <w:autoSpaceDN w:val="0"/>
      <w:adjustRightInd w:val="0"/>
      <w:spacing w:after="0" w:line="240" w:lineRule="auto"/>
    </w:pPr>
    <w:rPr>
      <w:rFonts w:ascii="Gilroy Bold" w:hAnsi="Gilroy Bold" w:cs="Gilroy 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A42E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1A42ED"/>
    <w:rPr>
      <w:rFonts w:cs="Gilroy Bold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1A42ED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A42ED"/>
    <w:rPr>
      <w:rFonts w:ascii="Titillium Web" w:hAnsi="Titillium Web" w:cs="Titillium Web"/>
      <w:b/>
      <w:bCs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1A42ED"/>
    <w:pPr>
      <w:spacing w:line="241" w:lineRule="atLeast"/>
    </w:pPr>
    <w:rPr>
      <w:rFonts w:ascii="Titillium Web" w:hAnsi="Titillium Web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Zuin Marco</dc:creator>
  <cp:keywords/>
  <dc:description/>
  <cp:lastModifiedBy>Zuin Marco</cp:lastModifiedBy>
  <cp:revision>1</cp:revision>
  <dcterms:created xsi:type="dcterms:W3CDTF">2021-11-15T13:13:00Z</dcterms:created>
  <dcterms:modified xsi:type="dcterms:W3CDTF">2021-11-15T13:35:00Z</dcterms:modified>
</cp:coreProperties>
</file>